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22E2" w14:textId="785F5221" w:rsidR="006229A0" w:rsidRPr="0070279C" w:rsidRDefault="006229A0" w:rsidP="006229A0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ACMC</w:t>
      </w:r>
      <w:r w:rsidR="00760A95">
        <w:rPr>
          <w:rFonts w:ascii="Arial" w:hAnsi="Arial"/>
          <w:b/>
          <w:sz w:val="22"/>
          <w:szCs w:val="22"/>
          <w:u w:val="single"/>
        </w:rPr>
        <w:t xml:space="preserve"> Emergency Medicine Residency</w:t>
      </w:r>
      <w:r>
        <w:rPr>
          <w:rFonts w:ascii="Arial" w:hAnsi="Arial"/>
          <w:b/>
          <w:sz w:val="22"/>
          <w:szCs w:val="22"/>
          <w:u w:val="single"/>
        </w:rPr>
        <w:t xml:space="preserve"> Promotion and Appointment Policy</w:t>
      </w:r>
    </w:p>
    <w:p w14:paraId="73F437B4" w14:textId="77777777" w:rsidR="006229A0" w:rsidRPr="0070279C" w:rsidRDefault="006229A0" w:rsidP="006229A0">
      <w:pPr>
        <w:rPr>
          <w:rFonts w:ascii="Arial" w:hAnsi="Arial"/>
          <w:b/>
          <w:sz w:val="22"/>
          <w:szCs w:val="22"/>
          <w:u w:val="single"/>
        </w:rPr>
      </w:pPr>
    </w:p>
    <w:p w14:paraId="7B09DB1D" w14:textId="77777777" w:rsidR="006229A0" w:rsidRPr="0070279C" w:rsidRDefault="006229A0" w:rsidP="006229A0">
      <w:pPr>
        <w:rPr>
          <w:rFonts w:ascii="Arial" w:hAnsi="Arial"/>
          <w:b/>
          <w:sz w:val="22"/>
          <w:szCs w:val="22"/>
          <w:u w:val="single"/>
        </w:rPr>
      </w:pPr>
    </w:p>
    <w:p w14:paraId="4427E8F0" w14:textId="77777777" w:rsidR="006229A0" w:rsidRPr="0070279C" w:rsidRDefault="006229A0" w:rsidP="006229A0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  <w:szCs w:val="22"/>
          <w:u w:val="single"/>
        </w:rPr>
      </w:pPr>
      <w:r w:rsidRPr="0070279C">
        <w:rPr>
          <w:rFonts w:ascii="Arial" w:hAnsi="Arial"/>
          <w:b/>
          <w:sz w:val="22"/>
          <w:szCs w:val="22"/>
          <w:u w:val="single"/>
        </w:rPr>
        <w:t>PURPOSE</w:t>
      </w:r>
    </w:p>
    <w:p w14:paraId="4A200D56" w14:textId="77777777" w:rsidR="006229A0" w:rsidRPr="0070279C" w:rsidRDefault="006229A0" w:rsidP="006229A0">
      <w:pPr>
        <w:pStyle w:val="ListParagraph"/>
        <w:ind w:left="1080"/>
        <w:rPr>
          <w:rFonts w:ascii="Arial" w:hAnsi="Arial"/>
          <w:sz w:val="22"/>
          <w:szCs w:val="22"/>
        </w:rPr>
      </w:pPr>
    </w:p>
    <w:p w14:paraId="4AAC8764" w14:textId="77777777" w:rsidR="006229A0" w:rsidRPr="0070279C" w:rsidRDefault="006229A0" w:rsidP="006229A0">
      <w:pPr>
        <w:pStyle w:val="ListParagraph"/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establish a policy</w:t>
      </w:r>
      <w:r w:rsidRPr="0070279C">
        <w:rPr>
          <w:rFonts w:ascii="Arial" w:hAnsi="Arial"/>
          <w:sz w:val="22"/>
          <w:szCs w:val="22"/>
        </w:rPr>
        <w:t xml:space="preserve"> and procedure for </w:t>
      </w:r>
      <w:r w:rsidR="00D64A0B">
        <w:rPr>
          <w:rFonts w:ascii="Arial" w:hAnsi="Arial"/>
          <w:sz w:val="22"/>
          <w:szCs w:val="22"/>
        </w:rPr>
        <w:t xml:space="preserve">annual </w:t>
      </w:r>
      <w:r w:rsidR="008D3ECD">
        <w:rPr>
          <w:rFonts w:ascii="Arial" w:hAnsi="Arial"/>
          <w:sz w:val="22"/>
          <w:szCs w:val="22"/>
        </w:rPr>
        <w:t xml:space="preserve">promotion of residents </w:t>
      </w:r>
      <w:r w:rsidR="00D64A0B">
        <w:rPr>
          <w:rFonts w:ascii="Arial" w:hAnsi="Arial"/>
          <w:sz w:val="22"/>
          <w:szCs w:val="22"/>
        </w:rPr>
        <w:t xml:space="preserve">in the </w:t>
      </w:r>
      <w:r w:rsidR="00D64A0B" w:rsidRPr="0070279C">
        <w:rPr>
          <w:rFonts w:ascii="Arial" w:hAnsi="Arial"/>
          <w:sz w:val="22"/>
          <w:szCs w:val="22"/>
        </w:rPr>
        <w:t>Advocate Christ Medical Center Emergency Medic</w:t>
      </w:r>
      <w:r w:rsidR="00D64A0B">
        <w:rPr>
          <w:rFonts w:ascii="Arial" w:hAnsi="Arial"/>
          <w:sz w:val="22"/>
          <w:szCs w:val="22"/>
        </w:rPr>
        <w:t xml:space="preserve">ine (ACMC-EM) residency program as well as establish criteria for graduation of these residents to the independent practice of emergency medicine without supervision. </w:t>
      </w:r>
    </w:p>
    <w:p w14:paraId="57D2D76D" w14:textId="77777777" w:rsidR="006229A0" w:rsidRPr="0070279C" w:rsidRDefault="006229A0" w:rsidP="006229A0">
      <w:pPr>
        <w:ind w:left="1080"/>
        <w:rPr>
          <w:rFonts w:ascii="Arial" w:hAnsi="Arial"/>
          <w:sz w:val="22"/>
          <w:szCs w:val="22"/>
        </w:rPr>
      </w:pPr>
    </w:p>
    <w:p w14:paraId="4E9F511B" w14:textId="77777777" w:rsidR="006229A0" w:rsidRPr="0070279C" w:rsidRDefault="006229A0" w:rsidP="006229A0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  <w:szCs w:val="22"/>
          <w:u w:val="single"/>
        </w:rPr>
      </w:pPr>
      <w:r w:rsidRPr="0070279C">
        <w:rPr>
          <w:rFonts w:ascii="Arial" w:hAnsi="Arial"/>
          <w:b/>
          <w:sz w:val="22"/>
          <w:szCs w:val="22"/>
          <w:u w:val="single"/>
        </w:rPr>
        <w:t>POLICY</w:t>
      </w:r>
    </w:p>
    <w:p w14:paraId="50F750D9" w14:textId="77777777" w:rsidR="006229A0" w:rsidRPr="0070279C" w:rsidRDefault="006229A0" w:rsidP="006229A0">
      <w:pPr>
        <w:pStyle w:val="ListParagraph"/>
        <w:ind w:left="1080"/>
        <w:rPr>
          <w:rFonts w:ascii="Arial" w:hAnsi="Arial"/>
          <w:sz w:val="22"/>
          <w:szCs w:val="22"/>
        </w:rPr>
      </w:pPr>
    </w:p>
    <w:p w14:paraId="3AE57F15" w14:textId="77777777" w:rsidR="008D3ECD" w:rsidRDefault="006229A0" w:rsidP="006229A0">
      <w:pPr>
        <w:pStyle w:val="ListParagraph"/>
        <w:ind w:left="1080"/>
        <w:rPr>
          <w:rFonts w:ascii="Arial" w:hAnsi="Arial"/>
          <w:sz w:val="22"/>
          <w:szCs w:val="22"/>
        </w:rPr>
      </w:pPr>
      <w:r w:rsidRPr="0070279C">
        <w:rPr>
          <w:rFonts w:ascii="Arial" w:hAnsi="Arial"/>
          <w:sz w:val="22"/>
          <w:szCs w:val="22"/>
        </w:rPr>
        <w:t xml:space="preserve">In compliance with </w:t>
      </w:r>
      <w:r>
        <w:rPr>
          <w:rFonts w:ascii="Arial" w:hAnsi="Arial"/>
          <w:sz w:val="22"/>
          <w:szCs w:val="22"/>
        </w:rPr>
        <w:t>ACGME</w:t>
      </w:r>
      <w:r w:rsidR="001A6C0A">
        <w:rPr>
          <w:rFonts w:ascii="Arial" w:hAnsi="Arial"/>
          <w:sz w:val="22"/>
          <w:szCs w:val="22"/>
        </w:rPr>
        <w:t xml:space="preserve"> guidelines and ACMC EM Residency policy, the responsibility of promotion of ACMC-EM Residents will ultimately rest with the ACMC-EM Program Director.  </w:t>
      </w:r>
      <w:proofErr w:type="gramStart"/>
      <w:r w:rsidR="001F2CDD">
        <w:rPr>
          <w:rFonts w:ascii="Arial" w:hAnsi="Arial"/>
          <w:sz w:val="22"/>
          <w:szCs w:val="22"/>
        </w:rPr>
        <w:t>Also</w:t>
      </w:r>
      <w:proofErr w:type="gramEnd"/>
      <w:r w:rsidR="001F2CDD">
        <w:rPr>
          <w:rFonts w:ascii="Arial" w:hAnsi="Arial"/>
          <w:sz w:val="22"/>
          <w:szCs w:val="22"/>
        </w:rPr>
        <w:t xml:space="preserve"> according to ACGME guidelines, the decisions of the Program Director</w:t>
      </w:r>
      <w:r w:rsidR="001A6C0A">
        <w:rPr>
          <w:rFonts w:ascii="Arial" w:hAnsi="Arial"/>
          <w:sz w:val="22"/>
          <w:szCs w:val="22"/>
        </w:rPr>
        <w:t xml:space="preserve"> will be informed by the ACMC-EM Residency Clinical Competency Committee (CCC) recommendations, as outlined below.  Additional promotion requirements for all residents and </w:t>
      </w:r>
      <w:r w:rsidR="001F2CDD">
        <w:rPr>
          <w:rFonts w:ascii="Arial" w:hAnsi="Arial"/>
          <w:sz w:val="22"/>
          <w:szCs w:val="22"/>
        </w:rPr>
        <w:t xml:space="preserve">promotion requirements </w:t>
      </w:r>
      <w:r w:rsidR="001A6C0A">
        <w:rPr>
          <w:rFonts w:ascii="Arial" w:hAnsi="Arial"/>
          <w:sz w:val="22"/>
          <w:szCs w:val="22"/>
        </w:rPr>
        <w:t>specified by year are also listed below.</w:t>
      </w:r>
    </w:p>
    <w:p w14:paraId="114911D6" w14:textId="77777777" w:rsidR="008D3ECD" w:rsidRDefault="008D3ECD" w:rsidP="006229A0">
      <w:pPr>
        <w:pStyle w:val="ListParagraph"/>
        <w:ind w:left="1080"/>
        <w:rPr>
          <w:rFonts w:ascii="Arial" w:hAnsi="Arial"/>
          <w:sz w:val="22"/>
          <w:szCs w:val="22"/>
        </w:rPr>
      </w:pPr>
    </w:p>
    <w:p w14:paraId="3B3E03FA" w14:textId="77777777" w:rsidR="008D3ECD" w:rsidRDefault="008D3ECD" w:rsidP="006229A0">
      <w:pPr>
        <w:pStyle w:val="ListParagraph"/>
        <w:ind w:left="1080"/>
        <w:rPr>
          <w:rFonts w:ascii="Arial" w:hAnsi="Arial"/>
          <w:sz w:val="22"/>
          <w:szCs w:val="22"/>
        </w:rPr>
      </w:pPr>
    </w:p>
    <w:p w14:paraId="552B615D" w14:textId="77777777" w:rsidR="00D64A0B" w:rsidRDefault="008D3ECD" w:rsidP="008D3ECD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  <w:szCs w:val="22"/>
          <w:u w:val="single"/>
        </w:rPr>
      </w:pPr>
      <w:r w:rsidRPr="0070279C">
        <w:rPr>
          <w:rFonts w:ascii="Arial" w:hAnsi="Arial"/>
          <w:b/>
          <w:sz w:val="22"/>
          <w:szCs w:val="22"/>
          <w:u w:val="single"/>
        </w:rPr>
        <w:t>PROCEDURE</w:t>
      </w:r>
    </w:p>
    <w:p w14:paraId="7C431AED" w14:textId="77777777" w:rsidR="001F2CDD" w:rsidRDefault="001F2CDD" w:rsidP="00D64A0B">
      <w:pPr>
        <w:rPr>
          <w:rFonts w:ascii="Arial" w:hAnsi="Arial"/>
          <w:b/>
          <w:sz w:val="22"/>
          <w:szCs w:val="22"/>
          <w:u w:val="single"/>
        </w:rPr>
      </w:pPr>
    </w:p>
    <w:p w14:paraId="356CF6C0" w14:textId="77777777" w:rsidR="00D64A0B" w:rsidRDefault="001F2CDD" w:rsidP="00D64A0B">
      <w:pPr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As stated</w:t>
      </w:r>
      <w:r w:rsidR="00D64A0B" w:rsidRPr="00D64A0B">
        <w:rPr>
          <w:rFonts w:ascii="Arial" w:hAnsi="Arial"/>
          <w:sz w:val="22"/>
          <w:szCs w:val="22"/>
        </w:rPr>
        <w:t xml:space="preserve"> in the ACMC Emergency Medicine Residency Clinical Competency Committee</w:t>
      </w:r>
      <w:r w:rsidR="00D64A0B">
        <w:rPr>
          <w:rFonts w:ascii="Arial" w:hAnsi="Arial"/>
          <w:sz w:val="22"/>
          <w:szCs w:val="22"/>
        </w:rPr>
        <w:t xml:space="preserve"> (CCC) Charter, and following ACGME guidelines, the purpose of the CCC is to</w:t>
      </w:r>
      <w:r w:rsidR="00D64A0B" w:rsidRPr="00D64A0B">
        <w:rPr>
          <w:rFonts w:ascii="Arial" w:hAnsi="Arial"/>
          <w:sz w:val="22"/>
        </w:rPr>
        <w:t xml:space="preserve"> provide the Program Director with biannual consensus recommendations on the competence of each resident in the training program. These recommendations will be based on </w:t>
      </w:r>
      <w:r>
        <w:rPr>
          <w:rFonts w:ascii="Arial" w:hAnsi="Arial"/>
          <w:sz w:val="22"/>
        </w:rPr>
        <w:t>multisource evaluations in large part developed using</w:t>
      </w:r>
      <w:r w:rsidR="00D64A0B" w:rsidRPr="00D64A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 23 Emergency Medicine (EM) M</w:t>
      </w:r>
      <w:r w:rsidR="00D64A0B" w:rsidRPr="00D64A0B">
        <w:rPr>
          <w:rFonts w:ascii="Arial" w:hAnsi="Arial"/>
          <w:sz w:val="22"/>
        </w:rPr>
        <w:t xml:space="preserve">ilestones.  The Program Director will </w:t>
      </w:r>
      <w:proofErr w:type="gramStart"/>
      <w:r w:rsidR="00D64A0B" w:rsidRPr="00D64A0B">
        <w:rPr>
          <w:rFonts w:ascii="Arial" w:hAnsi="Arial"/>
          <w:sz w:val="22"/>
        </w:rPr>
        <w:t>give strong consideration to</w:t>
      </w:r>
      <w:proofErr w:type="gramEnd"/>
      <w:r w:rsidR="00D64A0B" w:rsidRPr="00D64A0B">
        <w:rPr>
          <w:rFonts w:ascii="Arial" w:hAnsi="Arial"/>
          <w:sz w:val="22"/>
        </w:rPr>
        <w:t xml:space="preserve"> all recommendations of the Clinical Competency Committee but the Program Director retains the final decision on all resident advancement/remediation/expulsion decisions.  Biannu</w:t>
      </w:r>
      <w:r>
        <w:rPr>
          <w:rFonts w:ascii="Arial" w:hAnsi="Arial"/>
          <w:sz w:val="22"/>
        </w:rPr>
        <w:t>al CCC</w:t>
      </w:r>
      <w:r w:rsidR="00D64A0B" w:rsidRPr="00D64A0B">
        <w:rPr>
          <w:rFonts w:ascii="Arial" w:hAnsi="Arial"/>
          <w:sz w:val="22"/>
        </w:rPr>
        <w:t xml:space="preserve"> recommend</w:t>
      </w:r>
      <w:r w:rsidR="00D64A0B">
        <w:rPr>
          <w:rFonts w:ascii="Arial" w:hAnsi="Arial"/>
          <w:sz w:val="22"/>
        </w:rPr>
        <w:t>ations will be reported and tracked through</w:t>
      </w:r>
      <w:r w:rsidR="00D64A0B" w:rsidRPr="00D64A0B">
        <w:rPr>
          <w:rFonts w:ascii="Arial" w:hAnsi="Arial"/>
          <w:sz w:val="22"/>
        </w:rPr>
        <w:t xml:space="preserve"> a Google Drive Dashboar</w:t>
      </w:r>
      <w:r w:rsidR="00D64A0B">
        <w:rPr>
          <w:rFonts w:ascii="Arial" w:hAnsi="Arial"/>
          <w:sz w:val="22"/>
        </w:rPr>
        <w:t>d to provide continuous monitoring</w:t>
      </w:r>
      <w:r w:rsidR="00D64A0B" w:rsidRPr="00D64A0B">
        <w:rPr>
          <w:rFonts w:ascii="Arial" w:hAnsi="Arial"/>
          <w:sz w:val="22"/>
        </w:rPr>
        <w:t xml:space="preserve"> of resident competence over the course of their residency.</w:t>
      </w:r>
      <w:r w:rsidR="00D64A0B">
        <w:rPr>
          <w:rFonts w:ascii="Arial" w:hAnsi="Arial"/>
          <w:sz w:val="22"/>
        </w:rPr>
        <w:t xml:space="preserve">  </w:t>
      </w:r>
      <w:r w:rsidR="00D64A0B" w:rsidRPr="00D64A0B">
        <w:rPr>
          <w:rFonts w:ascii="Arial" w:hAnsi="Arial"/>
          <w:sz w:val="22"/>
        </w:rPr>
        <w:t>CCC members and the Residency Progra</w:t>
      </w:r>
      <w:r w:rsidR="00D64A0B">
        <w:rPr>
          <w:rFonts w:ascii="Arial" w:hAnsi="Arial"/>
          <w:sz w:val="22"/>
        </w:rPr>
        <w:t xml:space="preserve">m Coordinator use the Google Drive Dashboard </w:t>
      </w:r>
      <w:r w:rsidR="00D64A0B" w:rsidRPr="00D64A0B">
        <w:rPr>
          <w:rFonts w:ascii="Arial" w:hAnsi="Arial"/>
          <w:sz w:val="22"/>
        </w:rPr>
        <w:t>to enter and share evaluation metric</w:t>
      </w:r>
      <w:r>
        <w:rPr>
          <w:rFonts w:ascii="Arial" w:hAnsi="Arial"/>
          <w:sz w:val="22"/>
        </w:rPr>
        <w:t>s for each resident prior to each CCC meeting.  The Google Drive Dashboard</w:t>
      </w:r>
      <w:r w:rsidR="00D64A0B" w:rsidRPr="00D64A0B">
        <w:rPr>
          <w:rFonts w:ascii="Arial" w:hAnsi="Arial"/>
          <w:sz w:val="22"/>
        </w:rPr>
        <w:t xml:space="preserve"> is also a</w:t>
      </w:r>
      <w:r>
        <w:rPr>
          <w:rFonts w:ascii="Arial" w:hAnsi="Arial"/>
          <w:sz w:val="22"/>
        </w:rPr>
        <w:t xml:space="preserve"> standing</w:t>
      </w:r>
      <w:r w:rsidR="00D64A0B" w:rsidRPr="00D64A0B">
        <w:rPr>
          <w:rFonts w:ascii="Arial" w:hAnsi="Arial"/>
          <w:sz w:val="22"/>
        </w:rPr>
        <w:t xml:space="preserve"> record of the graduated responsibilities and consensus recommendation for advancement voted </w:t>
      </w:r>
      <w:r>
        <w:rPr>
          <w:rFonts w:ascii="Arial" w:hAnsi="Arial"/>
          <w:sz w:val="22"/>
        </w:rPr>
        <w:t>on by the CCC at the time of each</w:t>
      </w:r>
      <w:r w:rsidR="00D64A0B" w:rsidRPr="00D64A0B">
        <w:rPr>
          <w:rFonts w:ascii="Arial" w:hAnsi="Arial"/>
          <w:sz w:val="22"/>
        </w:rPr>
        <w:t xml:space="preserve"> CCC meeting.  </w:t>
      </w:r>
    </w:p>
    <w:p w14:paraId="3042F8F2" w14:textId="77777777" w:rsidR="00D64A0B" w:rsidRDefault="00D64A0B" w:rsidP="00D64A0B">
      <w:pPr>
        <w:rPr>
          <w:rFonts w:ascii="Arial" w:hAnsi="Arial"/>
          <w:sz w:val="22"/>
        </w:rPr>
      </w:pPr>
    </w:p>
    <w:p w14:paraId="1455238C" w14:textId="77777777" w:rsidR="00D64A0B" w:rsidRPr="00D64A0B" w:rsidRDefault="00D64A0B" w:rsidP="00D64A0B">
      <w:pPr>
        <w:rPr>
          <w:rFonts w:ascii="Arial" w:hAnsi="Arial"/>
          <w:sz w:val="22"/>
        </w:rPr>
      </w:pPr>
      <w:r w:rsidRPr="00D64A0B">
        <w:rPr>
          <w:rFonts w:ascii="Arial" w:hAnsi="Arial"/>
          <w:b/>
          <w:sz w:val="22"/>
        </w:rPr>
        <w:t>Measur</w:t>
      </w:r>
      <w:r>
        <w:rPr>
          <w:rFonts w:ascii="Arial" w:hAnsi="Arial"/>
          <w:b/>
          <w:sz w:val="22"/>
        </w:rPr>
        <w:t xml:space="preserve">es of Performance </w:t>
      </w:r>
      <w:r w:rsidRPr="00D64A0B">
        <w:rPr>
          <w:rFonts w:ascii="Arial" w:hAnsi="Arial"/>
          <w:b/>
          <w:sz w:val="22"/>
        </w:rPr>
        <w:t>Considered</w:t>
      </w:r>
      <w:r>
        <w:rPr>
          <w:rFonts w:ascii="Arial" w:hAnsi="Arial"/>
          <w:b/>
          <w:sz w:val="22"/>
        </w:rPr>
        <w:t xml:space="preserve"> by the CCC include but are not limited to</w:t>
      </w:r>
      <w:r w:rsidR="001F2CDD">
        <w:rPr>
          <w:rFonts w:ascii="Arial" w:hAnsi="Arial"/>
          <w:b/>
          <w:sz w:val="22"/>
        </w:rPr>
        <w:t>:</w:t>
      </w:r>
    </w:p>
    <w:p w14:paraId="21417E37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Semi-annual evaluations by EM faculty</w:t>
      </w:r>
    </w:p>
    <w:p w14:paraId="6893BAFA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End of shift evaluations</w:t>
      </w:r>
    </w:p>
    <w:p w14:paraId="0678EF1A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Off-service rotation evaluations</w:t>
      </w:r>
    </w:p>
    <w:p w14:paraId="68796999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Nursing Evaluations</w:t>
      </w:r>
    </w:p>
    <w:p w14:paraId="14D4F26B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Peer Evaluations</w:t>
      </w:r>
    </w:p>
    <w:p w14:paraId="4864B28F" w14:textId="40011A4F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Self</w:t>
      </w:r>
      <w:r w:rsidR="009A1D87">
        <w:rPr>
          <w:rFonts w:ascii="Arial" w:hAnsi="Arial"/>
          <w:sz w:val="22"/>
        </w:rPr>
        <w:t>-</w:t>
      </w:r>
      <w:r w:rsidRPr="00D64A0B">
        <w:rPr>
          <w:rFonts w:ascii="Arial" w:hAnsi="Arial"/>
          <w:sz w:val="22"/>
        </w:rPr>
        <w:t>Evaluations</w:t>
      </w:r>
    </w:p>
    <w:p w14:paraId="5A2300EC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Procedure log completion</w:t>
      </w:r>
    </w:p>
    <w:p w14:paraId="430C1464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Conference attendance</w:t>
      </w:r>
    </w:p>
    <w:p w14:paraId="41770D81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Individualized Interactive Instruction Compliance</w:t>
      </w:r>
    </w:p>
    <w:p w14:paraId="0F4DEB27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Patients per hour (or total patients)</w:t>
      </w:r>
    </w:p>
    <w:p w14:paraId="3B42F01D" w14:textId="1A285362" w:rsidR="00D64A0B" w:rsidRPr="00D64A0B" w:rsidRDefault="007B434D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9A1D87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Training</w:t>
      </w:r>
      <w:r w:rsidR="00D64A0B" w:rsidRPr="00D64A0B">
        <w:rPr>
          <w:rFonts w:ascii="Arial" w:hAnsi="Arial"/>
          <w:sz w:val="22"/>
        </w:rPr>
        <w:t xml:space="preserve"> Exam</w:t>
      </w:r>
      <w:r w:rsidR="009A1D87">
        <w:rPr>
          <w:rFonts w:ascii="Arial" w:hAnsi="Arial"/>
          <w:sz w:val="22"/>
        </w:rPr>
        <w:t>ination</w:t>
      </w:r>
      <w:r w:rsidR="00D64A0B" w:rsidRPr="00D64A0B">
        <w:rPr>
          <w:rFonts w:ascii="Arial" w:hAnsi="Arial"/>
          <w:sz w:val="22"/>
        </w:rPr>
        <w:t xml:space="preserve"> score</w:t>
      </w:r>
    </w:p>
    <w:p w14:paraId="1202642D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lastRenderedPageBreak/>
        <w:t>Oral board scores (individual)</w:t>
      </w:r>
    </w:p>
    <w:p w14:paraId="00C9CB72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Oral Boards (ACMC Oral Boards day)</w:t>
      </w:r>
    </w:p>
    <w:p w14:paraId="588E97A0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 xml:space="preserve">Oral Boards (State) </w:t>
      </w:r>
    </w:p>
    <w:p w14:paraId="715BAC57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Simulation evaluations</w:t>
      </w:r>
    </w:p>
    <w:p w14:paraId="64EF7B64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Status of resident project</w:t>
      </w:r>
    </w:p>
    <w:p w14:paraId="525D99D9" w14:textId="77777777" w:rsidR="00D64A0B" w:rsidRPr="00D64A0B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Compliance with EMS ride-along and lecture</w:t>
      </w:r>
    </w:p>
    <w:p w14:paraId="6BE3F099" w14:textId="77777777" w:rsidR="001A6C0A" w:rsidRDefault="00D64A0B" w:rsidP="00D64A0B">
      <w:pPr>
        <w:numPr>
          <w:ilvl w:val="0"/>
          <w:numId w:val="2"/>
        </w:numPr>
        <w:spacing w:after="200"/>
        <w:contextualSpacing/>
        <w:rPr>
          <w:rFonts w:ascii="Arial" w:hAnsi="Arial"/>
          <w:sz w:val="22"/>
        </w:rPr>
      </w:pPr>
      <w:r w:rsidRPr="00D64A0B">
        <w:rPr>
          <w:rFonts w:ascii="Arial" w:hAnsi="Arial"/>
          <w:sz w:val="22"/>
        </w:rPr>
        <w:t>Graduated responsibilities</w:t>
      </w:r>
    </w:p>
    <w:p w14:paraId="22920476" w14:textId="77777777" w:rsidR="001A6C0A" w:rsidRDefault="001A6C0A" w:rsidP="001A6C0A">
      <w:pPr>
        <w:spacing w:after="200"/>
        <w:contextualSpacing/>
        <w:rPr>
          <w:rFonts w:ascii="Arial" w:hAnsi="Arial"/>
          <w:sz w:val="22"/>
        </w:rPr>
      </w:pPr>
    </w:p>
    <w:p w14:paraId="56C1E57A" w14:textId="77777777" w:rsidR="001A6C0A" w:rsidRDefault="001A6C0A" w:rsidP="001A6C0A">
      <w:pPr>
        <w:spacing w:after="200"/>
        <w:contextualSpacing/>
        <w:rPr>
          <w:rFonts w:ascii="Arial" w:hAnsi="Arial"/>
          <w:sz w:val="22"/>
        </w:rPr>
      </w:pPr>
    </w:p>
    <w:p w14:paraId="678D6584" w14:textId="77777777" w:rsidR="00695831" w:rsidRPr="00695831" w:rsidRDefault="001A6C0A" w:rsidP="001A6C0A">
      <w:pPr>
        <w:spacing w:after="200"/>
        <w:contextualSpacing/>
        <w:rPr>
          <w:rFonts w:ascii="Arial" w:hAnsi="Arial"/>
          <w:b/>
          <w:sz w:val="22"/>
          <w:szCs w:val="22"/>
        </w:rPr>
      </w:pPr>
      <w:r w:rsidRPr="00695831">
        <w:rPr>
          <w:rFonts w:ascii="Arial" w:hAnsi="Arial"/>
          <w:b/>
          <w:sz w:val="22"/>
          <w:szCs w:val="22"/>
        </w:rPr>
        <w:t>Addi</w:t>
      </w:r>
      <w:r w:rsidR="00AB33C3">
        <w:rPr>
          <w:rFonts w:ascii="Arial" w:hAnsi="Arial"/>
          <w:b/>
          <w:sz w:val="22"/>
          <w:szCs w:val="22"/>
        </w:rPr>
        <w:t>tional promotion requirements</w:t>
      </w:r>
      <w:r w:rsidR="001F2CDD">
        <w:rPr>
          <w:rFonts w:ascii="Arial" w:hAnsi="Arial"/>
          <w:b/>
          <w:sz w:val="22"/>
          <w:szCs w:val="22"/>
        </w:rPr>
        <w:t>:</w:t>
      </w:r>
    </w:p>
    <w:p w14:paraId="367C5DE2" w14:textId="77777777" w:rsidR="001A6C0A" w:rsidRDefault="001A6C0A" w:rsidP="001A6C0A">
      <w:pPr>
        <w:spacing w:after="200"/>
        <w:contextualSpacing/>
        <w:rPr>
          <w:rFonts w:ascii="Arial" w:hAnsi="Arial"/>
          <w:sz w:val="22"/>
          <w:szCs w:val="22"/>
        </w:rPr>
      </w:pPr>
    </w:p>
    <w:p w14:paraId="5C2A7447" w14:textId="77777777" w:rsidR="00695831" w:rsidRDefault="001A6C0A" w:rsidP="001A6C0A">
      <w:pPr>
        <w:spacing w:after="20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Promotion to the next annual level of training (PGY-1 to PGY-2, PGY-2 to PGY-3, PGY-3 to residency graduation) is dependent on</w:t>
      </w:r>
      <w:r w:rsidR="00695831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14:paraId="30B8CF93" w14:textId="321286CC" w:rsidR="00AB33C3" w:rsidRDefault="00AB33C3" w:rsidP="00AB33C3">
      <w:pPr>
        <w:pStyle w:val="ListParagraph"/>
        <w:numPr>
          <w:ilvl w:val="0"/>
          <w:numId w:val="3"/>
        </w:numPr>
        <w:spacing w:after="200"/>
        <w:rPr>
          <w:rFonts w:ascii="Arial" w:hAnsi="Arial"/>
          <w:sz w:val="22"/>
          <w:szCs w:val="22"/>
        </w:rPr>
      </w:pPr>
      <w:r w:rsidRPr="00AB33C3">
        <w:rPr>
          <w:rFonts w:ascii="Arial" w:hAnsi="Arial"/>
          <w:sz w:val="22"/>
          <w:szCs w:val="22"/>
        </w:rPr>
        <w:t>Demonstrating an average Milestone l</w:t>
      </w:r>
      <w:r w:rsidR="00695831" w:rsidRPr="00AB33C3">
        <w:rPr>
          <w:rFonts w:ascii="Arial" w:hAnsi="Arial"/>
          <w:sz w:val="22"/>
          <w:szCs w:val="22"/>
        </w:rPr>
        <w:t xml:space="preserve">evel of 2.0 to </w:t>
      </w:r>
      <w:r w:rsidR="001F2CDD">
        <w:rPr>
          <w:rFonts w:ascii="Arial" w:hAnsi="Arial"/>
          <w:sz w:val="22"/>
          <w:szCs w:val="22"/>
        </w:rPr>
        <w:t>be promoted from PGY-1 to PGY-2;</w:t>
      </w:r>
      <w:r w:rsidR="00695831" w:rsidRPr="00AB33C3">
        <w:rPr>
          <w:rFonts w:ascii="Arial" w:hAnsi="Arial"/>
          <w:sz w:val="22"/>
          <w:szCs w:val="22"/>
        </w:rPr>
        <w:t xml:space="preserve"> 3.0 to be promoted from PGY</w:t>
      </w:r>
      <w:r w:rsidR="001F2CDD">
        <w:rPr>
          <w:rFonts w:ascii="Arial" w:hAnsi="Arial"/>
          <w:sz w:val="22"/>
          <w:szCs w:val="22"/>
        </w:rPr>
        <w:t>-2 to PGY-3;</w:t>
      </w:r>
      <w:r w:rsidR="00695831" w:rsidRPr="00AB33C3">
        <w:rPr>
          <w:rFonts w:ascii="Arial" w:hAnsi="Arial"/>
          <w:sz w:val="22"/>
          <w:szCs w:val="22"/>
        </w:rPr>
        <w:t xml:space="preserve"> and 3.8 to be promoted from PGY-</w:t>
      </w:r>
      <w:r w:rsidR="001F2CDD">
        <w:rPr>
          <w:rFonts w:ascii="Arial" w:hAnsi="Arial"/>
          <w:sz w:val="22"/>
          <w:szCs w:val="22"/>
        </w:rPr>
        <w:t>3 to residency graduation.  These averages are</w:t>
      </w:r>
      <w:r w:rsidR="00695831" w:rsidRPr="00AB33C3">
        <w:rPr>
          <w:rFonts w:ascii="Arial" w:hAnsi="Arial"/>
          <w:sz w:val="22"/>
          <w:szCs w:val="22"/>
        </w:rPr>
        <w:t xml:space="preserve"> determined from the semi-annual evaluations from emergency medicine faculty </w:t>
      </w:r>
    </w:p>
    <w:p w14:paraId="0BCA0678" w14:textId="77777777" w:rsidR="00C73D7D" w:rsidRPr="00C73D7D" w:rsidRDefault="00C73D7D" w:rsidP="00C73D7D">
      <w:pPr>
        <w:pStyle w:val="ListParagraph"/>
        <w:spacing w:after="200"/>
        <w:rPr>
          <w:rFonts w:ascii="Arial" w:hAnsi="Arial"/>
          <w:sz w:val="22"/>
          <w:szCs w:val="22"/>
        </w:rPr>
      </w:pPr>
    </w:p>
    <w:p w14:paraId="3D00160A" w14:textId="77777777" w:rsidR="00AB33C3" w:rsidRPr="00AB33C3" w:rsidRDefault="001F2CDD" w:rsidP="00AB33C3">
      <w:pPr>
        <w:pStyle w:val="ListParagraph"/>
        <w:numPr>
          <w:ilvl w:val="0"/>
          <w:numId w:val="3"/>
        </w:numPr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Caring</w:t>
      </w:r>
      <w:r w:rsidR="00AB33C3" w:rsidRPr="00AB33C3">
        <w:rPr>
          <w:rFonts w:ascii="Arial" w:hAnsi="Arial"/>
          <w:sz w:val="22"/>
          <w:szCs w:val="22"/>
        </w:rPr>
        <w:t xml:space="preserve"> for an average of </w:t>
      </w:r>
      <w:r>
        <w:rPr>
          <w:rFonts w:ascii="Arial" w:hAnsi="Arial"/>
          <w:sz w:val="22"/>
          <w:szCs w:val="22"/>
        </w:rPr>
        <w:t>1.2-1.5 patients per hour by the end of PGY-1 year</w:t>
      </w:r>
    </w:p>
    <w:p w14:paraId="475A5D17" w14:textId="77777777" w:rsidR="00AB33C3" w:rsidRPr="00AB33C3" w:rsidRDefault="001F2CDD" w:rsidP="00AB33C3">
      <w:pPr>
        <w:pStyle w:val="ListParagraph"/>
        <w:numPr>
          <w:ilvl w:val="0"/>
          <w:numId w:val="3"/>
        </w:numPr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Caring</w:t>
      </w:r>
      <w:r w:rsidR="00AB33C3" w:rsidRPr="00AB33C3">
        <w:rPr>
          <w:rFonts w:ascii="Arial" w:hAnsi="Arial"/>
          <w:sz w:val="22"/>
          <w:szCs w:val="22"/>
        </w:rPr>
        <w:t xml:space="preserve"> for an average of</w:t>
      </w:r>
      <w:r w:rsidR="00523B64">
        <w:rPr>
          <w:rFonts w:ascii="Arial" w:hAnsi="Arial"/>
          <w:sz w:val="22"/>
          <w:szCs w:val="22"/>
        </w:rPr>
        <w:t xml:space="preserve"> 1.5-2.0 patients per hour</w:t>
      </w:r>
      <w:r>
        <w:rPr>
          <w:rFonts w:ascii="Arial" w:hAnsi="Arial"/>
          <w:sz w:val="22"/>
          <w:szCs w:val="22"/>
        </w:rPr>
        <w:t xml:space="preserve"> by the end of PGY-2 year</w:t>
      </w:r>
    </w:p>
    <w:p w14:paraId="581AAB55" w14:textId="7829E466" w:rsidR="00C73D7D" w:rsidRDefault="001F2CDD" w:rsidP="00C73D7D">
      <w:pPr>
        <w:pStyle w:val="ListParagraph"/>
        <w:numPr>
          <w:ilvl w:val="0"/>
          <w:numId w:val="3"/>
        </w:numPr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Caring</w:t>
      </w:r>
      <w:r w:rsidR="00AB33C3" w:rsidRPr="00AB33C3">
        <w:rPr>
          <w:rFonts w:ascii="Arial" w:hAnsi="Arial"/>
          <w:sz w:val="22"/>
          <w:szCs w:val="22"/>
        </w:rPr>
        <w:t xml:space="preserve"> for an average of</w:t>
      </w:r>
      <w:r>
        <w:rPr>
          <w:rFonts w:ascii="Arial" w:hAnsi="Arial"/>
          <w:sz w:val="22"/>
          <w:szCs w:val="22"/>
        </w:rPr>
        <w:t xml:space="preserve"> 2.0-2.5 patients per hour by the end of PGY-2 year</w:t>
      </w:r>
    </w:p>
    <w:p w14:paraId="7A2C2738" w14:textId="77777777" w:rsidR="00C73D7D" w:rsidRPr="00C73D7D" w:rsidRDefault="00C73D7D" w:rsidP="00C73D7D">
      <w:pPr>
        <w:spacing w:after="200"/>
        <w:rPr>
          <w:rFonts w:ascii="Arial" w:hAnsi="Arial"/>
          <w:sz w:val="22"/>
          <w:szCs w:val="22"/>
        </w:rPr>
      </w:pPr>
    </w:p>
    <w:p w14:paraId="0B5DF82D" w14:textId="77777777" w:rsidR="00695831" w:rsidRPr="002F7218" w:rsidRDefault="00695831" w:rsidP="001A6C0A">
      <w:pPr>
        <w:pStyle w:val="ListParagraph"/>
        <w:numPr>
          <w:ilvl w:val="0"/>
          <w:numId w:val="3"/>
        </w:numPr>
        <w:spacing w:after="200"/>
        <w:rPr>
          <w:rFonts w:ascii="Arial" w:hAnsi="Arial"/>
          <w:sz w:val="22"/>
          <w:szCs w:val="22"/>
        </w:rPr>
      </w:pPr>
      <w:r w:rsidRPr="00AB33C3">
        <w:rPr>
          <w:rFonts w:ascii="Arial" w:hAnsi="Arial"/>
          <w:sz w:val="22"/>
          <w:szCs w:val="22"/>
        </w:rPr>
        <w:t>S</w:t>
      </w:r>
      <w:r w:rsidR="001A6C0A" w:rsidRPr="00AB33C3">
        <w:rPr>
          <w:rFonts w:ascii="Arial" w:hAnsi="Arial"/>
          <w:sz w:val="22"/>
          <w:szCs w:val="22"/>
        </w:rPr>
        <w:t>uccessful completion of all rotations, including all required off-service rotations and electives</w:t>
      </w:r>
    </w:p>
    <w:p w14:paraId="14ECB270" w14:textId="638D7BD8" w:rsidR="009A1D87" w:rsidRPr="009A1D87" w:rsidRDefault="00695831" w:rsidP="009A1D87">
      <w:pPr>
        <w:pStyle w:val="ListParagraph"/>
        <w:numPr>
          <w:ilvl w:val="0"/>
          <w:numId w:val="3"/>
        </w:numPr>
        <w:spacing w:after="200"/>
        <w:rPr>
          <w:rFonts w:ascii="Arial" w:hAnsi="Arial"/>
          <w:sz w:val="22"/>
          <w:szCs w:val="22"/>
        </w:rPr>
      </w:pPr>
      <w:r w:rsidRPr="00AB33C3">
        <w:rPr>
          <w:rFonts w:ascii="Arial" w:hAnsi="Arial"/>
          <w:sz w:val="22"/>
          <w:szCs w:val="22"/>
        </w:rPr>
        <w:t>Completion of updated procedure log every 6 months</w:t>
      </w:r>
    </w:p>
    <w:p w14:paraId="65EF9889" w14:textId="77777777" w:rsidR="00695831" w:rsidRDefault="00695831" w:rsidP="001A6C0A">
      <w:pPr>
        <w:spacing w:after="200"/>
        <w:contextualSpacing/>
        <w:rPr>
          <w:rFonts w:ascii="Arial" w:hAnsi="Arial"/>
          <w:sz w:val="22"/>
          <w:szCs w:val="22"/>
        </w:rPr>
      </w:pPr>
    </w:p>
    <w:p w14:paraId="33BBAAC5" w14:textId="77777777" w:rsidR="00695831" w:rsidRDefault="00695831" w:rsidP="001A6C0A">
      <w:pPr>
        <w:spacing w:after="20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Beyond the above requirements, graduation from the ACMC-EM Residency Program also requires</w:t>
      </w:r>
      <w:r w:rsidR="001F2CD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14:paraId="419309BA" w14:textId="77777777" w:rsidR="00AB33C3" w:rsidRDefault="00AB33C3" w:rsidP="001A6C0A">
      <w:pPr>
        <w:spacing w:after="200"/>
        <w:contextualSpacing/>
        <w:rPr>
          <w:rFonts w:ascii="Arial" w:hAnsi="Arial"/>
          <w:sz w:val="22"/>
          <w:szCs w:val="22"/>
        </w:rPr>
      </w:pPr>
    </w:p>
    <w:p w14:paraId="40E90D52" w14:textId="14334DF1" w:rsidR="00695831" w:rsidRPr="002F7218" w:rsidRDefault="00AB33C3" w:rsidP="002F7218">
      <w:pPr>
        <w:pStyle w:val="ListParagraph"/>
        <w:numPr>
          <w:ilvl w:val="0"/>
          <w:numId w:val="4"/>
        </w:numPr>
        <w:spacing w:after="200"/>
        <w:rPr>
          <w:rFonts w:ascii="Arial" w:hAnsi="Arial"/>
          <w:sz w:val="22"/>
          <w:szCs w:val="22"/>
        </w:rPr>
      </w:pPr>
      <w:r w:rsidRPr="002F7218">
        <w:rPr>
          <w:rFonts w:ascii="Arial" w:hAnsi="Arial"/>
          <w:sz w:val="22"/>
          <w:szCs w:val="22"/>
        </w:rPr>
        <w:t xml:space="preserve">Maintaining an overall </w:t>
      </w:r>
      <w:r w:rsidR="009A1D87">
        <w:rPr>
          <w:rFonts w:ascii="Arial" w:hAnsi="Arial"/>
          <w:sz w:val="22"/>
          <w:szCs w:val="22"/>
        </w:rPr>
        <w:t>7</w:t>
      </w:r>
      <w:r w:rsidRPr="002F7218">
        <w:rPr>
          <w:rFonts w:ascii="Arial" w:hAnsi="Arial"/>
          <w:sz w:val="22"/>
          <w:szCs w:val="22"/>
        </w:rPr>
        <w:t>0% Departmental Conference Attendance average</w:t>
      </w:r>
    </w:p>
    <w:p w14:paraId="47B0DA15" w14:textId="77777777" w:rsidR="00695831" w:rsidRPr="002F7218" w:rsidRDefault="00AB33C3" w:rsidP="002F7218">
      <w:pPr>
        <w:pStyle w:val="ListParagraph"/>
        <w:numPr>
          <w:ilvl w:val="0"/>
          <w:numId w:val="4"/>
        </w:numPr>
        <w:spacing w:after="200"/>
        <w:rPr>
          <w:rFonts w:ascii="Arial" w:hAnsi="Arial"/>
          <w:sz w:val="22"/>
          <w:szCs w:val="22"/>
        </w:rPr>
      </w:pPr>
      <w:r w:rsidRPr="002F7218">
        <w:rPr>
          <w:rFonts w:ascii="Arial" w:hAnsi="Arial"/>
          <w:sz w:val="22"/>
          <w:szCs w:val="22"/>
        </w:rPr>
        <w:t>M</w:t>
      </w:r>
      <w:r w:rsidR="00695831" w:rsidRPr="002F7218">
        <w:rPr>
          <w:rFonts w:ascii="Arial" w:hAnsi="Arial"/>
          <w:sz w:val="22"/>
          <w:szCs w:val="22"/>
        </w:rPr>
        <w:t>eeting all ACGME-EM procedural requirements</w:t>
      </w:r>
    </w:p>
    <w:p w14:paraId="66AB228E" w14:textId="77777777" w:rsidR="00695831" w:rsidRPr="002F7218" w:rsidRDefault="00AB33C3" w:rsidP="002F7218">
      <w:pPr>
        <w:pStyle w:val="ListParagraph"/>
        <w:numPr>
          <w:ilvl w:val="0"/>
          <w:numId w:val="4"/>
        </w:numPr>
        <w:spacing w:after="200"/>
        <w:rPr>
          <w:rFonts w:ascii="Arial" w:hAnsi="Arial"/>
          <w:sz w:val="22"/>
          <w:szCs w:val="22"/>
        </w:rPr>
      </w:pPr>
      <w:r w:rsidRPr="002F7218">
        <w:rPr>
          <w:rFonts w:ascii="Arial" w:hAnsi="Arial"/>
          <w:sz w:val="22"/>
          <w:szCs w:val="22"/>
        </w:rPr>
        <w:t>C</w:t>
      </w:r>
      <w:r w:rsidR="00695831" w:rsidRPr="002F7218">
        <w:rPr>
          <w:rFonts w:ascii="Arial" w:hAnsi="Arial"/>
          <w:sz w:val="22"/>
          <w:szCs w:val="22"/>
        </w:rPr>
        <w:t>ompletion of a resident scholarly project</w:t>
      </w:r>
    </w:p>
    <w:p w14:paraId="4E599400" w14:textId="77777777" w:rsidR="00695831" w:rsidRPr="002F7218" w:rsidRDefault="00AB33C3" w:rsidP="002F7218">
      <w:pPr>
        <w:pStyle w:val="ListParagraph"/>
        <w:numPr>
          <w:ilvl w:val="0"/>
          <w:numId w:val="4"/>
        </w:numPr>
        <w:spacing w:after="200"/>
        <w:rPr>
          <w:rFonts w:ascii="Arial" w:hAnsi="Arial"/>
          <w:sz w:val="22"/>
          <w:szCs w:val="22"/>
        </w:rPr>
      </w:pPr>
      <w:r w:rsidRPr="002F7218">
        <w:rPr>
          <w:rFonts w:ascii="Arial" w:hAnsi="Arial"/>
          <w:sz w:val="22"/>
          <w:szCs w:val="22"/>
        </w:rPr>
        <w:t>C</w:t>
      </w:r>
      <w:r w:rsidR="00695831" w:rsidRPr="002F7218">
        <w:rPr>
          <w:rFonts w:ascii="Arial" w:hAnsi="Arial"/>
          <w:sz w:val="22"/>
          <w:szCs w:val="22"/>
        </w:rPr>
        <w:t>ompletion of the Institute for Health Care Improvement (IHI) Basic Certificate</w:t>
      </w:r>
    </w:p>
    <w:p w14:paraId="5D8FABD9" w14:textId="77777777" w:rsidR="001A6C0A" w:rsidRDefault="001A6C0A" w:rsidP="001A6C0A">
      <w:pPr>
        <w:spacing w:after="20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 w14:paraId="6BC09A97" w14:textId="77777777" w:rsidR="001A6C0A" w:rsidRDefault="001A6C0A" w:rsidP="001A6C0A">
      <w:pPr>
        <w:spacing w:after="200"/>
        <w:contextualSpacing/>
        <w:rPr>
          <w:rFonts w:ascii="Arial" w:hAnsi="Arial"/>
          <w:sz w:val="22"/>
          <w:szCs w:val="22"/>
        </w:rPr>
      </w:pPr>
    </w:p>
    <w:p w14:paraId="56F78F3C" w14:textId="0A7746C2" w:rsidR="001A6C0A" w:rsidRDefault="00C73D7D" w:rsidP="001A6C0A">
      <w:pPr>
        <w:spacing w:after="20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Revised </w:t>
      </w:r>
      <w:r w:rsidR="009A1D87">
        <w:rPr>
          <w:rFonts w:ascii="Arial" w:hAnsi="Arial"/>
          <w:sz w:val="22"/>
        </w:rPr>
        <w:t>June 1, 2021</w:t>
      </w:r>
      <w:r>
        <w:rPr>
          <w:rFonts w:ascii="Arial" w:hAnsi="Arial"/>
          <w:sz w:val="22"/>
        </w:rPr>
        <w:t>;</w:t>
      </w:r>
      <w:r w:rsidR="002A6D10">
        <w:rPr>
          <w:rFonts w:ascii="Arial" w:hAnsi="Arial"/>
          <w:sz w:val="22"/>
        </w:rPr>
        <w:t xml:space="preserve"> </w:t>
      </w:r>
      <w:proofErr w:type="spellStart"/>
      <w:r w:rsidR="001F2CDD">
        <w:rPr>
          <w:rFonts w:ascii="Arial" w:hAnsi="Arial"/>
          <w:sz w:val="22"/>
        </w:rPr>
        <w:t>eol</w:t>
      </w:r>
      <w:proofErr w:type="spellEnd"/>
    </w:p>
    <w:p w14:paraId="723EDEB7" w14:textId="77777777" w:rsidR="001A6C0A" w:rsidRDefault="001A6C0A" w:rsidP="001A6C0A">
      <w:pPr>
        <w:spacing w:after="200"/>
        <w:contextualSpacing/>
        <w:rPr>
          <w:rFonts w:ascii="Arial" w:hAnsi="Arial"/>
          <w:sz w:val="22"/>
        </w:rPr>
      </w:pPr>
    </w:p>
    <w:p w14:paraId="70F2FE3A" w14:textId="77777777" w:rsidR="00D64A0B" w:rsidRPr="00D64A0B" w:rsidRDefault="00D64A0B" w:rsidP="001A6C0A">
      <w:pPr>
        <w:spacing w:after="200"/>
        <w:contextualSpacing/>
        <w:rPr>
          <w:rFonts w:ascii="Arial" w:hAnsi="Arial"/>
          <w:sz w:val="22"/>
        </w:rPr>
      </w:pPr>
    </w:p>
    <w:p w14:paraId="350FD8B4" w14:textId="77777777" w:rsidR="00D64A0B" w:rsidRPr="00D64A0B" w:rsidRDefault="00D64A0B" w:rsidP="00D64A0B">
      <w:pPr>
        <w:rPr>
          <w:rFonts w:ascii="Arial" w:hAnsi="Arial"/>
          <w:sz w:val="22"/>
        </w:rPr>
      </w:pPr>
    </w:p>
    <w:p w14:paraId="3BF93EF1" w14:textId="77777777" w:rsidR="00D64A0B" w:rsidRPr="00D64A0B" w:rsidRDefault="00D64A0B" w:rsidP="00D64A0B">
      <w:pPr>
        <w:rPr>
          <w:rFonts w:ascii="Arial" w:hAnsi="Arial"/>
          <w:sz w:val="22"/>
          <w:szCs w:val="22"/>
        </w:rPr>
      </w:pPr>
    </w:p>
    <w:p w14:paraId="63F07D50" w14:textId="77777777" w:rsidR="006229A0" w:rsidRPr="001F2CDD" w:rsidRDefault="006229A0">
      <w:pPr>
        <w:rPr>
          <w:rFonts w:ascii="Arial" w:hAnsi="Arial"/>
          <w:b/>
          <w:sz w:val="22"/>
          <w:szCs w:val="22"/>
        </w:rPr>
      </w:pPr>
    </w:p>
    <w:p w14:paraId="1C045722" w14:textId="77777777" w:rsidR="008D3ECD" w:rsidRDefault="008D3ECD"/>
    <w:sectPr w:rsidR="008D3ECD" w:rsidSect="008D3E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45"/>
    <w:multiLevelType w:val="hybridMultilevel"/>
    <w:tmpl w:val="A25C0FD0"/>
    <w:lvl w:ilvl="0" w:tplc="F83E0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C4E"/>
    <w:multiLevelType w:val="hybridMultilevel"/>
    <w:tmpl w:val="35A0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34FF"/>
    <w:multiLevelType w:val="hybridMultilevel"/>
    <w:tmpl w:val="379CD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B08AB"/>
    <w:multiLevelType w:val="hybridMultilevel"/>
    <w:tmpl w:val="6C1A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9E"/>
    <w:rsid w:val="001A6C0A"/>
    <w:rsid w:val="001F2CDD"/>
    <w:rsid w:val="002A6D10"/>
    <w:rsid w:val="002C309E"/>
    <w:rsid w:val="002F7218"/>
    <w:rsid w:val="00523B64"/>
    <w:rsid w:val="00554D93"/>
    <w:rsid w:val="0059441F"/>
    <w:rsid w:val="006229A0"/>
    <w:rsid w:val="00695831"/>
    <w:rsid w:val="00760A95"/>
    <w:rsid w:val="007B434D"/>
    <w:rsid w:val="00827F96"/>
    <w:rsid w:val="00847240"/>
    <w:rsid w:val="008D3ECD"/>
    <w:rsid w:val="009A1D87"/>
    <w:rsid w:val="00AB33C3"/>
    <w:rsid w:val="00C73D7D"/>
    <w:rsid w:val="00D41E4D"/>
    <w:rsid w:val="00D64A0B"/>
    <w:rsid w:val="00F94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F57E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29A0"/>
    <w:pPr>
      <w:spacing w:after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 Christ Medical Center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Lovell</dc:creator>
  <cp:keywords/>
  <cp:lastModifiedBy>Carlson, Andrea</cp:lastModifiedBy>
  <cp:revision>2</cp:revision>
  <dcterms:created xsi:type="dcterms:W3CDTF">2021-06-09T01:56:00Z</dcterms:created>
  <dcterms:modified xsi:type="dcterms:W3CDTF">2021-06-09T01:56:00Z</dcterms:modified>
</cp:coreProperties>
</file>